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880" w:firstLineChars="200"/>
        <w:jc w:val="center"/>
        <w:rPr>
          <w:rFonts w:hint="eastAsia" w:ascii="方正小标宋_GBK" w:hAnsi="Times New Roman" w:eastAsia="方正小标宋_GBK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国家发改委：坚决遏制“两高”项目</w:t>
      </w:r>
    </w:p>
    <w:p>
      <w:pPr>
        <w:adjustRightInd w:val="0"/>
        <w:snapToGrid w:val="0"/>
        <w:spacing w:line="580" w:lineRule="exact"/>
        <w:ind w:firstLine="880" w:firstLineChars="200"/>
        <w:jc w:val="center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盲目发展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国家发展改革委定于2021年8月17日（周二）上午10：00召开8月份例行新闻发布会，国家发展改革委新闻发言人介绍有关情况，并回答记者提问。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当前存在的突出问题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力争2030年前实现碳达峰、2060年前实现碳中和，是党中央经过深思熟虑作出的重大战略决策。今年以来，各地区各部门积极推进碳达峰碳中和相关工作，取得了一定成效。但在工作中确实出现了有些地方、行业、企业的工作着力点有所“跑偏”，采取的行动措施不符合实事求是、尊重规律、循序渐进、先立后破的要求，主要表现在3个方面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一是目标设定过高、脱离实际。有的地方、行业、企业“抢头彩”心切，提出的目标超越发展阶段；有的地方对高耗能项目搞“一刀切”关停；有的金融机构骤然对煤电等项目抽贷断贷。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是遏制“两高”行动乏力。遏制“两高”项目盲目发展是当前碳达峰碳中和工作的当务之急和重中之重，但有的地方口号喊得响，行动跟不上，有的地方甚至违规上马“两高”项目，未批先建问题比较突出。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三是节能减排基础不牢。碳达峰碳中和与节能减排、应对气候变化工作一脉相承，有的地方对节能减排工作不够重视，能耗“双控”落实不力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按照</w:t>
      </w:r>
      <w:r>
        <w:rPr>
          <w:rFonts w:hint="eastAsia" w:ascii="Times New Roman" w:hAnsi="Times New Roman" w:eastAsia="仿宋_GB2312"/>
          <w:sz w:val="32"/>
          <w:szCs w:val="32"/>
        </w:rPr>
        <w:t>《2021年上半年各地区能耗双控目标完成情况晴雨表》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上半年能耗强度降低情况，形势是比较严峻的；有的行业没有扎实做好结构节能、技术节能、管理节能，而是寄希望于某种技术一劳永逸解决问题；有的机构蹭热度、追热点，热衷于打标签、发牌子，碳中和“帽子”满天飞。这些现象，可以说与碳达峰碳中和工作的初衷和要求背道而驰，必须坚决予以纠正。对此，中央政治局会议明确要求，要统筹有序做好碳达峰碳中和工作，尽快出台2030年前碳达峰行动方案，坚持全国一盘棋，既要纠正运动式“减碳”，先立后破，也要坚决遏制“两高”项目盲目发展。国家发改委承担着碳达峰碳中和工作领导小组办公室职责，正在会同有关部门，抓紧制定完善碳达峰碳中和“1+N”政策体系。在下一步工作中，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/>
          <w:sz w:val="32"/>
          <w:szCs w:val="32"/>
        </w:rPr>
        <w:t>树立正确导向、细化政策要求、抓好工作落实、加大督导力度，及时发现并纠正相关问题，确保党中央、国务院决策部署不跑偏、不走样。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遏制“两高”项目盲目发展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关于遏制“两高”项目盲目发展工作。近期，按照党中央部署，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国家发改</w:t>
      </w:r>
      <w:r>
        <w:rPr>
          <w:rFonts w:hint="eastAsia" w:ascii="Times New Roman" w:hAnsi="Times New Roman" w:eastAsia="仿宋_GB2312"/>
          <w:sz w:val="32"/>
          <w:szCs w:val="32"/>
        </w:rPr>
        <w:t>委会同有关部门开展了专项检查，督促各地压减拟上马的“两高”项目350多个，减少新增用能需求2.7亿吨标准煤，取得了初步成效。但在专项检查中也发现，与党中央、国务院的要求相比，不少地方的决心力度和工作成效还存在差距，一些突出问题仍亟待解决。下一步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国家发改</w:t>
      </w:r>
      <w:r>
        <w:rPr>
          <w:rFonts w:hint="eastAsia" w:ascii="Times New Roman" w:hAnsi="Times New Roman" w:eastAsia="仿宋_GB2312"/>
          <w:sz w:val="32"/>
          <w:szCs w:val="32"/>
        </w:rPr>
        <w:t>委将进一步完善和强化能耗“双控”制度，制定出台三年工作方案，指导各地扎实有力有序做好工作，坚决遏制“两高”项目盲目发展，坚决把不符合要求的“两高”项目拿下来，加快推动经济社会发展全面绿色转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425E5"/>
    <w:rsid w:val="3C1146B1"/>
    <w:rsid w:val="6B477595"/>
    <w:rsid w:val="7DE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2021-08-17T07:31:00Z</dcterms:created>
  <dc:creator>刘响</dc:creator>
  <cp:lastModifiedBy>刘响</cp:lastModifiedBy>
  <dcterms:modified xsi:type="dcterms:W3CDTF">2021-08-17T08:10:15Z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